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120" w:after="120"/>
        <w:jc w:val="center"/>
        <w:rPr>
          <w:rStyle w:val="Style8"/>
          <w:b w:val="false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«ОКПД2 19.20.29.160. Поставка масла турбинного марки ТП-30 для гидротурбины ст.№18 для нужд филиала ПАО «РусГидро» - «Саратовская ГЭС» в рамках инвестиционного проекта T-1300-00205 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  <w:lang w:val="en-US"/>
        </w:rPr>
      </w:pPr>
      <w:r>
        <w:rPr>
          <w:rFonts w:eastAsia="Calibri"/>
          <w:b/>
          <w:sz w:val="26"/>
          <w:szCs w:val="26"/>
        </w:rPr>
        <w:t xml:space="preserve">Лот </w:t>
      </w:r>
      <w:r>
        <w:rPr>
          <w:rFonts w:eastAsia="Calibri"/>
          <w:b/>
          <w:sz w:val="26"/>
          <w:szCs w:val="26"/>
          <w:lang w:val="en-US"/>
        </w:rPr>
        <w:t>№ 7-ТПиР-2026-СарГЭС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  <w:rFonts w:eastAsia="Calibri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  <w:rFonts w:eastAsia="Calibri"/>
            </w:rPr>
            <w:fldChar w:fldCharType="separate"/>
          </w:r>
          <w:hyperlink w:anchor="_Toc189032985">
            <w:r>
              <w:rPr>
                <w:webHidden/>
                <w:rStyle w:val="Style14"/>
                <w:rFonts w:eastAsia="Calibri"/>
                <w:vanish w:val="false"/>
              </w:rPr>
              <w:t>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_Toc189032985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86">
            <w:r>
              <w:rPr>
                <w:webHidden/>
                <w:rStyle w:val="Style14"/>
                <w:rFonts w:eastAsia="Calibri"/>
                <w:iCs/>
                <w:vanish w:val="false"/>
                <w:lang w:val="en-US"/>
              </w:rPr>
              <w:t>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  <w:lang w:val="en-US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_Toc189032986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87">
            <w:r>
              <w:rPr>
                <w:webHidden/>
                <w:rStyle w:val="Style14"/>
                <w:rFonts w:eastAsia="Calibri"/>
                <w:iCs/>
                <w:vanish w:val="false"/>
              </w:rPr>
              <w:t>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88">
            <w:r>
              <w:rPr>
                <w:webHidden/>
                <w:rStyle w:val="Style14"/>
                <w:rFonts w:eastAsia="Calibri"/>
                <w:iCs/>
                <w:vanish w:val="false"/>
              </w:rPr>
              <w:t>1.3.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89">
            <w:r>
              <w:rPr>
                <w:webHidden/>
                <w:rStyle w:val="Style14"/>
                <w:rFonts w:eastAsia="Calibri"/>
                <w:iCs/>
                <w:vanish w:val="false"/>
              </w:rPr>
              <w:t>1.4.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_Toc189032989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0">
            <w:r>
              <w:rPr>
                <w:webHidden/>
                <w:rStyle w:val="Style14"/>
                <w:rFonts w:eastAsia="Calibri"/>
                <w:vanish w:val="false"/>
              </w:rPr>
              <w:t>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91">
            <w:r>
              <w:rPr>
                <w:webHidden/>
                <w:rStyle w:val="Style14"/>
                <w:rFonts w:eastAsia="Calibri"/>
                <w:iCs/>
                <w:vanish w:val="false"/>
              </w:rPr>
              <w:t>2.1.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92">
            <w:r>
              <w:rPr>
                <w:webHidden/>
                <w:rStyle w:val="Style14"/>
                <w:rFonts w:eastAsia="Calibri"/>
                <w:vanish w:val="false"/>
              </w:rPr>
              <w:t>2.1.1.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3">
            <w:r>
              <w:rPr>
                <w:webHidden/>
                <w:rStyle w:val="Style14"/>
                <w:rFonts w:eastAsia="Calibri"/>
                <w:vanish w:val="false"/>
              </w:rPr>
              <w:t>Таблица 1.1 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94">
            <w:r>
              <w:rPr>
                <w:webHidden/>
                <w:rStyle w:val="Style14"/>
                <w:rFonts w:eastAsia="Calibri"/>
                <w:vanish w:val="false"/>
              </w:rPr>
              <w:t>2.1.2.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Требования к срокам поставки продукции и оказания сопутствующих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5">
            <w:r>
              <w:rPr>
                <w:webHidden/>
                <w:rStyle w:val="Style14"/>
                <w:rFonts w:eastAsia="Calibri"/>
                <w:vanish w:val="false"/>
              </w:rPr>
              <w:t>Таблица 2.1 Требования по срокам поставки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2"/>
              <w:szCs w:val="22"/>
            </w:rPr>
          </w:pPr>
          <w:hyperlink w:anchor="_Toc189032996">
            <w:r>
              <w:rPr>
                <w:webHidden/>
                <w:rStyle w:val="Style14"/>
                <w:rFonts w:eastAsia="Calibri"/>
                <w:iCs/>
                <w:vanish w:val="false"/>
              </w:rPr>
              <w:t>2.2.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7">
            <w:r>
              <w:rPr>
                <w:webHidden/>
                <w:rStyle w:val="Style14"/>
                <w:rFonts w:eastAsia="Calibri"/>
                <w:vanish w:val="false"/>
              </w:rPr>
              <w:t>Таблица 3.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8">
            <w:r>
              <w:rPr>
                <w:webHidden/>
                <w:rStyle w:val="Style14"/>
                <w:rFonts w:eastAsia="Calibri"/>
                <w:vanish w:val="false"/>
              </w:rPr>
              <w:t>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89032999">
            <w:r>
              <w:rPr>
                <w:webHidden/>
                <w:rStyle w:val="Style14"/>
                <w:rFonts w:eastAsia="Calibri"/>
                <w:vanish w:val="false"/>
              </w:rPr>
              <w:t>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rFonts w:eastAsia="Calibri"/>
              </w:rPr>
              <w:t>Приложения: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_Toc189032999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新細明體" w:cs="Arial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189032985"/>
      <w:bookmarkStart w:id="1" w:name="_Toc51339692"/>
      <w:r>
        <w:rPr>
          <w:lang w:val="ru-RU"/>
        </w:rPr>
        <w:t>Общие сведен</w:t>
      </w:r>
      <w:bookmarkEnd w:id="1"/>
      <w:r>
        <w:rPr>
          <w:lang w:val="ru-RU"/>
        </w:rPr>
        <w:t>ия</w:t>
      </w:r>
      <w:bookmarkEnd w:id="0"/>
    </w:p>
    <w:p>
      <w:pPr>
        <w:pStyle w:val="Heading4"/>
        <w:numPr>
          <w:ilvl w:val="1"/>
          <w:numId w:val="3"/>
        </w:numPr>
        <w:spacing w:before="120" w:after="120"/>
        <w:rPr>
          <w:lang w:val="en-US"/>
        </w:rPr>
      </w:pPr>
      <w:bookmarkStart w:id="2" w:name="_Toc189032986"/>
      <w:r>
        <w:rPr>
          <w:lang w:val="en-US"/>
        </w:rPr>
        <w:t>Обозначения и сокращения</w:t>
      </w:r>
      <w:bookmarkEnd w:id="2"/>
    </w:p>
    <w:tbl>
      <w:tblPr>
        <w:tblStyle w:val="affff7"/>
        <w:tblW w:w="99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0"/>
        <w:gridCol w:w="7930"/>
      </w:tblGrid>
      <w:tr>
        <w:trPr/>
        <w:tc>
          <w:tcPr>
            <w:tcW w:w="19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МТР</w:t>
            </w:r>
          </w:p>
        </w:tc>
        <w:tc>
          <w:tcPr>
            <w:tcW w:w="793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Материально-технические ресурсы</w:t>
            </w:r>
          </w:p>
        </w:tc>
      </w:tr>
      <w:tr>
        <w:trPr/>
        <w:tc>
          <w:tcPr>
            <w:tcW w:w="19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с</w:t>
            </w:r>
            <w:r>
              <w:rPr>
                <w:rFonts w:eastAsia="Times New Roman" w:cs="Times New Roman"/>
                <w:kern w:val="0"/>
                <w:lang w:val="ru-RU" w:eastAsia="x-none" w:bidi="ar-SA"/>
              </w:rPr>
              <w:t xml:space="preserve">т. </w:t>
            </w:r>
            <w:r>
              <w:rPr>
                <w:rFonts w:eastAsia="Times New Roman" w:cs="Times New Roman"/>
                <w:kern w:val="0"/>
                <w:lang w:val="en-US" w:eastAsia="x-none" w:bidi="ar-SA"/>
              </w:rPr>
              <w:t>№18</w:t>
            </w:r>
          </w:p>
        </w:tc>
        <w:tc>
          <w:tcPr>
            <w:tcW w:w="793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Станционный №18</w:t>
            </w:r>
          </w:p>
        </w:tc>
      </w:tr>
      <w:tr>
        <w:trPr/>
        <w:tc>
          <w:tcPr>
            <w:tcW w:w="19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ГОСТ</w:t>
            </w:r>
          </w:p>
        </w:tc>
        <w:tc>
          <w:tcPr>
            <w:tcW w:w="793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Государственный стандарт</w:t>
            </w:r>
          </w:p>
        </w:tc>
      </w:tr>
      <w:tr>
        <w:trPr/>
        <w:tc>
          <w:tcPr>
            <w:tcW w:w="198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РФ</w:t>
            </w:r>
          </w:p>
        </w:tc>
        <w:tc>
          <w:tcPr>
            <w:tcW w:w="793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lang w:val="en-US" w:eastAsia="x-none"/>
              </w:rPr>
            </w:pPr>
            <w:r>
              <w:rPr>
                <w:rFonts w:eastAsia="Times New Roman" w:cs="Times New Roman"/>
                <w:kern w:val="0"/>
                <w:lang w:val="en-US" w:eastAsia="x-none" w:bidi="ar-SA"/>
              </w:rPr>
              <w:t>Российская Федерация</w:t>
            </w:r>
          </w:p>
        </w:tc>
      </w:tr>
    </w:tbl>
    <w:p>
      <w:pPr>
        <w:pStyle w:val="Heading4"/>
        <w:numPr>
          <w:ilvl w:val="1"/>
          <w:numId w:val="3"/>
        </w:numPr>
        <w:spacing w:before="240" w:after="60"/>
        <w:rPr/>
      </w:pPr>
      <w:bookmarkStart w:id="3" w:name="_Toc189032987"/>
      <w:bookmarkStart w:id="4" w:name="_Toc46743506"/>
      <w:r>
        <w:rPr/>
        <w:t>Наименование закупаемой продукции</w:t>
      </w:r>
      <w:bookmarkEnd w:id="3"/>
      <w:bookmarkEnd w:id="4"/>
    </w:p>
    <w:p>
      <w:pPr>
        <w:pStyle w:val="Normal"/>
        <w:jc w:val="both"/>
        <w:rPr>
          <w:i/>
          <w:i/>
          <w:lang w:eastAsia="x-none"/>
        </w:rPr>
      </w:pPr>
      <w:r>
        <w:rPr>
          <w:sz w:val="24"/>
          <w:szCs w:val="24"/>
          <w:lang w:eastAsia="x-none"/>
        </w:rPr>
        <w:t xml:space="preserve">ОКПД2 19.20.29.160 Поставка масла турбинного марки ТП-30 для гидротурбины ст.№18 для нужд филиала ПАО “РусГидро” – “Саратовская ГЭС” в рамках инвестиционного проекта </w:t>
      </w:r>
      <w:bookmarkStart w:id="5" w:name="_GoBack"/>
      <w:bookmarkEnd w:id="5"/>
      <w:r>
        <w:rPr>
          <w:sz w:val="24"/>
          <w:szCs w:val="24"/>
          <w:lang w:val="en-US" w:eastAsia="x-none"/>
        </w:rPr>
        <w:t>T</w:t>
      </w:r>
      <w:r>
        <w:rPr>
          <w:sz w:val="24"/>
          <w:szCs w:val="24"/>
          <w:lang w:eastAsia="x-none"/>
        </w:rPr>
        <w:t xml:space="preserve">-1300-00205 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lang w:val="ru-RU"/>
        </w:rPr>
      </w:pPr>
      <w:bookmarkStart w:id="6" w:name="_Toc189032988"/>
      <w:bookmarkStart w:id="7" w:name="_Toc46743507"/>
      <w:r>
        <w:rPr/>
        <w:t xml:space="preserve">Цель </w:t>
      </w:r>
      <w:bookmarkEnd w:id="7"/>
      <w:r>
        <w:rPr>
          <w:lang w:val="ru-RU"/>
        </w:rPr>
        <w:t>использования закупаемой продукции</w:t>
      </w:r>
      <w:bookmarkEnd w:id="6"/>
      <w:r>
        <w:rPr>
          <w:lang w:val="ru-RU"/>
        </w:rPr>
        <w:t xml:space="preserve"> </w:t>
      </w:r>
    </w:p>
    <w:p>
      <w:pPr>
        <w:pStyle w:val="Normal"/>
        <w:spacing w:lineRule="auto" w:line="27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Модернизация гидротурбины ст. №1</w:t>
      </w:r>
      <w:r>
        <w:rPr>
          <w:sz w:val="24"/>
          <w:szCs w:val="24"/>
          <w:lang w:val="en-US" w:eastAsia="x-none"/>
        </w:rPr>
        <w:t>8</w:t>
      </w:r>
      <w:r>
        <w:rPr>
          <w:sz w:val="24"/>
          <w:szCs w:val="24"/>
          <w:lang w:eastAsia="x-none"/>
        </w:rPr>
        <w:t>.</w:t>
      </w:r>
    </w:p>
    <w:p>
      <w:pPr>
        <w:pStyle w:val="Heading4"/>
        <w:numPr>
          <w:ilvl w:val="1"/>
          <w:numId w:val="3"/>
        </w:numPr>
        <w:spacing w:before="240" w:after="60"/>
        <w:rPr/>
      </w:pPr>
      <w:bookmarkStart w:id="8" w:name="_Toc46743508"/>
      <w:bookmarkStart w:id="9" w:name="_Toc189032989"/>
      <w:r>
        <w:rPr/>
        <w:t>Существующее положение</w:t>
      </w:r>
      <w:bookmarkEnd w:id="8"/>
      <w:bookmarkEnd w:id="9"/>
      <w:r>
        <w:rPr>
          <w:lang w:val="ru-RU"/>
        </w:rPr>
        <w:t xml:space="preserve"> 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>Гидроагрегат ст. №18 в работе, планируемый срок модернизации с 15.06.2026 по 31.07.2027.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0" w:name="_Toc51339693"/>
      <w:bookmarkStart w:id="11" w:name="_Toc189032990"/>
      <w:bookmarkStart w:id="12" w:name="_Toc50125126"/>
      <w:bookmarkStart w:id="13" w:name="_Toc46743510"/>
      <w:bookmarkEnd w:id="12"/>
      <w:bookmarkEnd w:id="13"/>
      <w:r>
        <w:rPr>
          <w:iCs/>
        </w:rPr>
        <w:t>Требования к продукции</w:t>
      </w:r>
      <w:bookmarkEnd w:id="10"/>
      <w:bookmarkEnd w:id="11"/>
    </w:p>
    <w:p>
      <w:pPr>
        <w:pStyle w:val="Heading4"/>
        <w:numPr>
          <w:ilvl w:val="1"/>
          <w:numId w:val="3"/>
        </w:numPr>
        <w:rPr>
          <w:lang w:val="ru-RU"/>
        </w:rPr>
      </w:pPr>
      <w:bookmarkStart w:id="14" w:name="_Toc189032991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4"/>
    </w:p>
    <w:p>
      <w:pPr>
        <w:pStyle w:val="Heading3"/>
        <w:numPr>
          <w:ilvl w:val="2"/>
          <w:numId w:val="3"/>
        </w:numPr>
        <w:ind w:left="794" w:hanging="504"/>
        <w:rPr/>
      </w:pPr>
      <w:bookmarkStart w:id="15" w:name="_Toc51339695"/>
      <w:bookmarkStart w:id="16" w:name="_Toc54785618"/>
      <w:bookmarkStart w:id="17" w:name="_Toc189032992"/>
      <w:r>
        <w:rPr/>
        <w:t>Перечень и объем закупаемой продукции</w:t>
      </w:r>
      <w:bookmarkEnd w:id="16"/>
      <w:bookmarkEnd w:id="17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8" w:name="_Toc18903299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5"/>
      <w:r>
        <w:rPr>
          <w:sz w:val="24"/>
          <w:szCs w:val="24"/>
          <w:lang w:val="ru-RU"/>
        </w:rPr>
        <w:t>и объем закупаемой продукции</w:t>
      </w:r>
      <w:bookmarkEnd w:id="18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39"/>
        <w:gridCol w:w="3866"/>
        <w:gridCol w:w="1419"/>
        <w:gridCol w:w="1841"/>
        <w:gridCol w:w="1845"/>
      </w:tblGrid>
      <w:tr>
        <w:trPr/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>
        <w:trPr/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 турбинное ТП-30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кг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40 500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Бочка номинальным объемом 205 л и(или) 216,5 л</w:t>
            </w:r>
          </w:p>
        </w:tc>
      </w:tr>
    </w:tbl>
    <w:p>
      <w:pPr>
        <w:pStyle w:val="Heading3"/>
        <w:numPr>
          <w:ilvl w:val="2"/>
          <w:numId w:val="3"/>
        </w:numPr>
        <w:ind w:left="1224" w:hanging="940"/>
        <w:rPr>
          <w:lang w:val="ru-RU"/>
        </w:rPr>
      </w:pPr>
      <w:bookmarkStart w:id="19" w:name="_Toc189032994"/>
      <w:bookmarkStart w:id="20" w:name="_Toc51339696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>к срокам поставки продукции и оказания сопутствующих услуг</w:t>
      </w:r>
      <w:bookmarkEnd w:id="19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21" w:name="_Toc189032995"/>
      <w:bookmarkStart w:id="22" w:name="_Toc50125127"/>
      <w:bookmarkStart w:id="23" w:name="_Toc51339697"/>
      <w:bookmarkStart w:id="24" w:name="_Toc50125126_Копия_1"/>
      <w:bookmarkEnd w:id="2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bookmarkEnd w:id="23"/>
      <w:bookmarkEnd w:id="25"/>
      <w:r>
        <w:rPr>
          <w:sz w:val="24"/>
          <w:szCs w:val="24"/>
          <w:lang w:val="ru-RU"/>
        </w:rPr>
        <w:t>поставки продукции</w:t>
      </w:r>
      <w:bookmarkEnd w:id="21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3"/>
        <w:gridCol w:w="2547"/>
        <w:gridCol w:w="2982"/>
        <w:gridCol w:w="3113"/>
      </w:tblGrid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399" w:hRule="atLeast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 турбинное марки ТП-30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15.11.2026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Не позднее 05.04.2027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Heading1"/>
        <w:tabs>
          <w:tab w:val="clear" w:pos="0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</w:r>
      <w:bookmarkStart w:id="26" w:name="_Toc46743510_Копия_1"/>
      <w:bookmarkStart w:id="27" w:name="_Toc46743510_Копия_1"/>
      <w:bookmarkEnd w:id="27"/>
    </w:p>
    <w:p>
      <w:pPr>
        <w:pStyle w:val="Heading4"/>
        <w:numPr>
          <w:ilvl w:val="1"/>
          <w:numId w:val="3"/>
        </w:numPr>
        <w:rPr/>
      </w:pPr>
      <w:bookmarkStart w:id="28" w:name="_Toc51339698"/>
      <w:bookmarkStart w:id="29" w:name="_Toc189032996"/>
      <w:bookmarkStart w:id="30" w:name="_Toc46743511"/>
      <w:r>
        <w:rPr/>
        <w:t xml:space="preserve">Требования к </w:t>
      </w:r>
      <w:bookmarkEnd w:id="30"/>
      <w:r>
        <w:rPr>
          <w:lang w:val="ru-RU"/>
        </w:rPr>
        <w:t>качеству продукции</w:t>
      </w:r>
      <w:bookmarkEnd w:id="29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1" w:name="_Toc189032997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31"/>
      <w:r>
        <w:rPr>
          <w:sz w:val="24"/>
          <w:szCs w:val="24"/>
        </w:rPr>
        <w:t xml:space="preserve"> </w:t>
      </w:r>
      <w:bookmarkEnd w:id="28"/>
    </w:p>
    <w:p>
      <w:pPr>
        <w:pStyle w:val="Normal"/>
        <w:rPr>
          <w:rStyle w:val="Style8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Наименование продукции (позиция №1 Таблицы 1.1): Масло турбинное марки ТП-30:</w:t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affff7"/>
        <w:tblW w:w="153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2"/>
        <w:gridCol w:w="1811"/>
        <w:gridCol w:w="2987"/>
        <w:gridCol w:w="2990"/>
        <w:gridCol w:w="3262"/>
        <w:gridCol w:w="3406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98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625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340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81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8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32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340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341" w:hRule="atLeast"/>
        </w:trPr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98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2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445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Физико-химические показатели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ГОСТ 9972-2020 для марки масла ТП-30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Класс чистоты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Не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ниже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11 по ГОСТ 17216-2001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Наличие протокола испытаний/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паспорта 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Методы испытания в соответствии с ГОСТ 9972-2020 для марки масла ТП-30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en-US" w:eastAsia="ru-RU" w:bidi="ar-SA"/>
              </w:rPr>
              <w:t>Предоставить документ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составе заявки предоставить Протокол испытаний /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паспорт качества </w:t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445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безопасности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безопасности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ГОСТ 9972-2020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445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Продукция должна быть доставлена Поставщиком по адресу: 413800, РФ, Саратовская область, г. Балаково, Саратовская ГЭС, машинный зал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маркировке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ГОСТ 9972-2020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упаковке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Стоимость тары и упаковки включена в Цену Договора. Тара и упаковка возврату не подлежат.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Упаковка и маркировка должна быть произведена по ГОСТ 1510 и обеспечивать безопасную транспортировку и длительное хранение.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Упаковка – металлические бочки по ГОСТ 13950.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Срок хранения в упаковке изготовителя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менее 12  месяцев с даты изготовления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Условия  транспортирования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Вся продукция должна быть упакована, и защищена, надлежащим образом для транспортировки.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Транспортирование по ГОСТ 1510.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Упаковка продукции должна соответствовать способу транспортировки и выдерживать, без каких-либо ограничений, интенсивную подъёмно-транспортную обработку и воздействие экстремальных температур, соли, осадков во время транспортировки, а также открытого хранения. Поставщик несёт ответственность за качество упаковки.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Иные требования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1.Поставщик своими силами осуществляет поставку Продукции по адресу, указанному в п. 3.1, на склад Покупателя. 2.Стоимость продукции должна включать все сопутствующие расходы, таможенные, налоговые и иные обязательные платежи, расходы по доставке, страховке и транспортировке до указанного адреса.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79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Срок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гарантии на продукцию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Товар должен соответствовать гарантии, заявленной производителем, данного товара, но не менее 36 месяцев и исчисляться со дня подписания соответствующих товарных накладных унифицированной формы ТОРГ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Предложение по сроку гарантии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Дата изготовления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Поставляемый Товар должен быть новым товаром (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дата изготовления не позднее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 месяцев до дня подписания соответствующих Товарных накладных унифицированной формы ТОРГ-12), который не был в употреблении, в том числе, который не был восстановлен, у которого не были восстановлены потребительские свойства.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445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Документация при поставке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Заверенные копии паспорта безопасности химической продукции, определяющие технические требования к качеству масла;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Заверенные копии декларации о соответствии (согласно ТР ТС 030/2012)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Паспорт на каждую выпущенную партию (указывается на бочках).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Товарно-транспортная накладная формы №1-Т (для учёта товарно-материальных ценностей и расчётов за их перевозки).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Товарная накладная унифицированной формы ТОРГ-12.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209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Оригинал счета.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445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обязательствам Поставщика, влияющим на исполнение договора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в отношении режима прохода на территорию заказчика и правила поведения на ней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«Положением о пропускном и внутриобъектовом режимах филиала ПАО «РусГидро» - «Саратовская ГЭС», (приложение № 2 к настоящим Техническим требованиям).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в отношении процедуры приемки товаров, поступающих на склад заказчика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Проведение входного контроля всего Товара по мере его поступления на ГЭС, проводится в соответствии с положением «О входном контроле материально-технических ресурсов Филиала ПАО «РусГидро» – «Саратовская ГЭС», утвержденное приказом Филиала ПАО «РусГидро» - «Саратовская ГЭС» №СарГЭС/94-639 от 06.12.2018 г. (приложение № 1 к настоящим Техническим требованиям).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Применение национального режима</w:t>
            </w:r>
          </w:p>
        </w:tc>
        <w:tc>
          <w:tcPr>
            <w:tcW w:w="2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Национальный режим предоставляется</w:t>
            </w:r>
          </w:p>
        </w:tc>
        <w:tc>
          <w:tcPr>
            <w:tcW w:w="2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2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4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jc w:val="center"/>
        <w:rPr/>
      </w:pPr>
      <w:bookmarkStart w:id="32" w:name="_Toc54279844"/>
      <w:bookmarkStart w:id="33" w:name="_Toc54785625"/>
      <w:bookmarkStart w:id="34" w:name="_Toc189032998"/>
      <w:r>
        <w:rPr/>
        <w:t>Требования к документации по</w:t>
      </w:r>
      <w:r>
        <w:rPr>
          <w:lang w:val="ru-RU"/>
        </w:rPr>
        <w:t xml:space="preserve"> </w:t>
      </w:r>
      <w:r>
        <w:rPr/>
        <w:t>ценообразованию на этапе закупки</w:t>
      </w:r>
      <w:bookmarkEnd w:id="32"/>
      <w:bookmarkEnd w:id="33"/>
      <w:bookmarkEnd w:id="34"/>
    </w:p>
    <w:p>
      <w:pPr>
        <w:pStyle w:val="Normal"/>
        <w:numPr>
          <w:ilvl w:val="1"/>
          <w:numId w:val="9"/>
        </w:numPr>
        <w:spacing w:before="0"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5" w:name="_Hlk88325985"/>
      <w:r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5"/>
      <w:r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  <w:bookmarkStart w:id="36" w:name="_Hlk88327292"/>
    </w:p>
    <w:p>
      <w:pPr>
        <w:pStyle w:val="Normal"/>
        <w:numPr>
          <w:ilvl w:val="1"/>
          <w:numId w:val="9"/>
        </w:numPr>
        <w:spacing w:before="0"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Дополнительные документы по ценообразованию</w:t>
      </w:r>
      <w:bookmarkEnd w:id="36"/>
      <w:r>
        <w:rPr>
          <w:bCs/>
          <w:iCs/>
          <w:sz w:val="24"/>
          <w:szCs w:val="24"/>
          <w:lang w:eastAsia="x-none"/>
        </w:rPr>
        <w:t xml:space="preserve"> в состав заявки не включаются.</w:t>
      </w:r>
    </w:p>
    <w:p>
      <w:pPr>
        <w:pStyle w:val="Heading1"/>
        <w:numPr>
          <w:ilvl w:val="0"/>
          <w:numId w:val="3"/>
        </w:numPr>
        <w:ind w:left="426" w:hanging="426"/>
        <w:jc w:val="center"/>
        <w:rPr/>
      </w:pPr>
      <w:bookmarkStart w:id="37" w:name="_Toc189032999"/>
      <w:r>
        <w:rPr/>
        <w:t>Приложения:</w:t>
      </w:r>
      <w:bookmarkEnd w:id="37"/>
    </w:p>
    <w:p>
      <w:pPr>
        <w:pStyle w:val="Normal"/>
        <w:ind w:left="284" w:hanging="0"/>
        <w:jc w:val="both"/>
        <w:rPr>
          <w:sz w:val="24"/>
        </w:rPr>
      </w:pPr>
      <w:r>
        <w:rPr>
          <w:bCs/>
          <w:sz w:val="24"/>
        </w:rPr>
        <w:t>Приложение № 1</w:t>
      </w:r>
      <w:r>
        <w:rPr>
          <w:sz w:val="24"/>
        </w:rPr>
        <w:t xml:space="preserve"> Положение «О входном контроле материально-технических ресурсов Филиала ПАО «РусГидро» - «Саратовская ГЭС», утвержденное приказом Филиала ПАО «РусГидро» - «Саратовская ГЭС» №СарГЭС/94-639 от 06.12.2018 г.</w:t>
      </w:r>
    </w:p>
    <w:p>
      <w:pPr>
        <w:pStyle w:val="Normal"/>
        <w:ind w:left="284" w:hanging="0"/>
        <w:jc w:val="both"/>
        <w:rPr>
          <w:sz w:val="24"/>
        </w:rPr>
      </w:pPr>
      <w:r>
        <w:rPr>
          <w:bCs/>
          <w:sz w:val="24"/>
        </w:rPr>
        <w:t>Приложение № 2</w:t>
      </w:r>
      <w:r>
        <w:rPr>
          <w:sz w:val="24"/>
        </w:rPr>
        <w:t xml:space="preserve"> </w:t>
      </w:r>
      <w:r>
        <w:rPr>
          <w:sz w:val="24"/>
          <w:szCs w:val="24"/>
        </w:rPr>
        <w:t>«Положение о пропускном и внутриобъектовом режимах филиала ПАО «РусГидро» - «Саратовская ГЭС».</w:t>
      </w:r>
    </w:p>
    <w:p>
      <w:pPr>
        <w:pStyle w:val="Normal"/>
        <w:ind w:left="284" w:hanging="0"/>
        <w:jc w:val="both"/>
        <w:rPr>
          <w:bCs/>
          <w:sz w:val="24"/>
        </w:rPr>
      </w:pPr>
      <w:r>
        <w:rPr>
          <w:bCs/>
          <w:sz w:val="24"/>
        </w:rPr>
      </w:r>
    </w:p>
    <w:p>
      <w:pPr>
        <w:pStyle w:val="Normal"/>
        <w:rPr>
          <w:lang w:eastAsia="x-none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A90B6-6006-4380-95D9-5EBBCBB7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AlterOffice/3.4.0.9$Linux_X86_64 LibreOffice_project/b8daf9e823b1a5463a2f48435ddc2e8696e7d4fc</Application>
  <AppVersion>15.0000</AppVersion>
  <Pages>9</Pages>
  <Words>1014</Words>
  <Characters>6688</Characters>
  <CharactersWithSpaces>7514</CharactersWithSpaces>
  <Paragraphs>181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2026-03-16T11:56:00Z</dcterms:created>
  <dc:creator>Быстров Олег Геннадьевич</dc:creator>
  <dc:description/>
  <dc:language>ru-RU</dc:language>
  <cp:lastModifiedBy>demchenkoms@corp.gidroogk.com</cp:lastModifiedBy>
  <cp:lastPrinted>2006-07-26T14:04:00Z</cp:lastPrinted>
  <dcterms:modified xsi:type="dcterms:W3CDTF">2026-07-01T16:02:35Z</dcterms:modified>
  <cp:revision>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